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F8" w:rsidRDefault="007817F8">
      <w:pPr>
        <w:rPr>
          <w:b/>
        </w:rPr>
      </w:pPr>
    </w:p>
    <w:p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3"/>
        <w:gridCol w:w="3303"/>
        <w:gridCol w:w="2024"/>
        <w:gridCol w:w="2774"/>
      </w:tblGrid>
      <w:tr w:rsidR="00FA3D83" w:rsidRPr="008F1FC4" w:rsidTr="00E00BF4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vAlign w:val="center"/>
          </w:tcPr>
          <w:p w:rsidR="0010487D" w:rsidRPr="0010487D" w:rsidRDefault="0010487D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vAlign w:val="center"/>
          </w:tcPr>
          <w:p w:rsidR="0010487D" w:rsidRPr="008F1FC4" w:rsidRDefault="00FA3D83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Italian Intermediate Plus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vAlign w:val="center"/>
          </w:tcPr>
          <w:p w:rsidR="0010487D" w:rsidRPr="008F1FC4" w:rsidRDefault="00E00BF4" w:rsidP="0020450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79" w:type="dxa"/>
          </w:tcPr>
          <w:p w:rsidR="0010487D" w:rsidRPr="008F1FC4" w:rsidRDefault="00FA3D83" w:rsidP="00E00BF4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Nuovo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Espresso 3 </w:t>
            </w:r>
          </w:p>
        </w:tc>
      </w:tr>
      <w:tr w:rsidR="00FA3D83" w:rsidRPr="008F1FC4" w:rsidTr="00E00BF4">
        <w:trPr>
          <w:trHeight w:val="320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10487D" w:rsidRDefault="00E00BF4" w:rsidP="006D6C5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 xml:space="preserve">Number of </w:t>
            </w:r>
            <w:r w:rsidR="006D6C50">
              <w:rPr>
                <w:rFonts w:ascii="Verdana" w:hAnsi="Verdana"/>
                <w:b/>
                <w:sz w:val="21"/>
                <w:szCs w:val="21"/>
              </w:rPr>
              <w:t>lessons</w:t>
            </w:r>
            <w:r w:rsidRPr="008F1FC4">
              <w:rPr>
                <w:rFonts w:ascii="Verdana" w:hAnsi="Verdana"/>
                <w:b/>
                <w:sz w:val="21"/>
                <w:szCs w:val="21"/>
              </w:rPr>
              <w:t>:</w:t>
            </w:r>
          </w:p>
        </w:tc>
        <w:tc>
          <w:tcPr>
            <w:tcW w:w="3450" w:type="dxa"/>
            <w:vAlign w:val="center"/>
          </w:tcPr>
          <w:p w:rsidR="0010487D" w:rsidRPr="008F1FC4" w:rsidRDefault="006D6C50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E00BF4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</w:tcPr>
          <w:p w:rsidR="0010487D" w:rsidRPr="008F1FC4" w:rsidRDefault="00FA3D83" w:rsidP="00E00BF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6-10</w:t>
            </w:r>
          </w:p>
        </w:tc>
      </w:tr>
      <w:tr w:rsidR="0010487D" w:rsidRPr="008F1FC4" w:rsidTr="00D9006C">
        <w:trPr>
          <w:trHeight w:val="70"/>
        </w:trPr>
        <w:tc>
          <w:tcPr>
            <w:tcW w:w="9854" w:type="dxa"/>
            <w:gridSpan w:val="4"/>
          </w:tcPr>
          <w:p w:rsidR="0010487D" w:rsidRDefault="00BD58DF" w:rsidP="00D9006C">
            <w:pPr>
              <w:spacing w:after="0" w:line="240" w:lineRule="auto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Overview</w:t>
            </w:r>
            <w:r w:rsidR="0010487D" w:rsidRPr="00A93B05">
              <w:rPr>
                <w:rFonts w:ascii="Verdana" w:hAnsi="Verdana"/>
                <w:b/>
                <w:sz w:val="21"/>
                <w:szCs w:val="21"/>
              </w:rPr>
              <w:t xml:space="preserve"> of </w:t>
            </w:r>
            <w:r w:rsidR="00B46A57" w:rsidRPr="00A93B05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="0010487D" w:rsidRPr="00A93B05">
              <w:rPr>
                <w:rFonts w:ascii="Verdana" w:hAnsi="Verdana"/>
                <w:b/>
                <w:sz w:val="21"/>
                <w:szCs w:val="21"/>
              </w:rPr>
              <w:t>course:</w:t>
            </w:r>
          </w:p>
          <w:p w:rsidR="00FA3D83" w:rsidRDefault="00FA3D83" w:rsidP="00FA3D83">
            <w:pPr>
              <w:spacing w:after="0" w:line="360" w:lineRule="auto"/>
              <w:rPr>
                <w:rFonts w:ascii="Verdana" w:hAnsi="Verdana"/>
                <w:sz w:val="21"/>
                <w:szCs w:val="21"/>
              </w:rPr>
            </w:pPr>
            <w:r w:rsidRPr="003261B7">
              <w:rPr>
                <w:rFonts w:ascii="Verdana" w:hAnsi="Verdana"/>
                <w:sz w:val="21"/>
                <w:szCs w:val="21"/>
              </w:rPr>
              <w:t>This course enriches the students’ knowledge of current expressions and vocabulary and introduces new</w:t>
            </w:r>
            <w:r>
              <w:rPr>
                <w:rFonts w:ascii="Verdana" w:hAnsi="Verdana"/>
                <w:sz w:val="21"/>
                <w:szCs w:val="21"/>
              </w:rPr>
              <w:t xml:space="preserve"> important</w:t>
            </w:r>
            <w:r w:rsidRPr="003261B7">
              <w:rPr>
                <w:rFonts w:ascii="Verdana" w:hAnsi="Verdana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sz w:val="21"/>
                <w:szCs w:val="21"/>
              </w:rPr>
              <w:t>grammatical</w:t>
            </w:r>
            <w:r w:rsidRPr="003261B7">
              <w:rPr>
                <w:rFonts w:ascii="Verdana" w:hAnsi="Verdana"/>
                <w:sz w:val="21"/>
                <w:szCs w:val="21"/>
              </w:rPr>
              <w:t xml:space="preserve"> structures</w:t>
            </w:r>
            <w:r>
              <w:t>.</w:t>
            </w:r>
            <w:r>
              <w:rPr>
                <w:rFonts w:ascii="Verdana" w:hAnsi="Verdana"/>
                <w:sz w:val="21"/>
                <w:szCs w:val="21"/>
              </w:rPr>
              <w:t>. You can describe social changes and family structures, how the society affects the families. You can approach Italian celebrations and traditions and talk about your country traditions, making confronts.</w:t>
            </w:r>
            <w:r w:rsidRPr="003261B7">
              <w:rPr>
                <w:rFonts w:ascii="Verdana" w:hAnsi="Verdana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sz w:val="21"/>
                <w:szCs w:val="21"/>
              </w:rPr>
              <w:t>You can start to approach some important protagonist of the Italian culture.</w:t>
            </w:r>
            <w:r w:rsidRPr="003261B7">
              <w:rPr>
                <w:rFonts w:ascii="Verdana" w:hAnsi="Verdana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sz w:val="21"/>
                <w:szCs w:val="21"/>
              </w:rPr>
              <w:t>You can enlarge your knowledge about Italian regions.</w:t>
            </w:r>
          </w:p>
          <w:p w:rsidR="00FA3D83" w:rsidRDefault="00FA3D83" w:rsidP="00FA3D83">
            <w:pPr>
              <w:spacing w:after="0" w:line="360" w:lineRule="auto"/>
              <w:rPr>
                <w:rFonts w:ascii="Verdana" w:hAnsi="Verdana"/>
                <w:sz w:val="21"/>
                <w:szCs w:val="21"/>
              </w:rPr>
            </w:pPr>
            <w:r w:rsidRPr="003261B7">
              <w:rPr>
                <w:rFonts w:ascii="Verdana" w:hAnsi="Verdana"/>
                <w:sz w:val="21"/>
                <w:szCs w:val="21"/>
              </w:rPr>
              <w:t>You</w:t>
            </w:r>
            <w:r>
              <w:rPr>
                <w:rFonts w:ascii="Verdana" w:hAnsi="Verdana"/>
                <w:sz w:val="21"/>
                <w:szCs w:val="21"/>
              </w:rPr>
              <w:t xml:space="preserve"> can report other people speeches</w:t>
            </w:r>
            <w:r w:rsidRPr="003261B7">
              <w:rPr>
                <w:rFonts w:ascii="Verdana" w:hAnsi="Verdana"/>
                <w:sz w:val="21"/>
                <w:szCs w:val="21"/>
              </w:rPr>
              <w:t>. You can comparing and contrasting different opinions.</w:t>
            </w:r>
          </w:p>
          <w:p w:rsidR="00FA3D83" w:rsidRDefault="006A50FA" w:rsidP="00FA3D83">
            <w:pPr>
              <w:spacing w:after="0"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Particular</w:t>
            </w:r>
            <w:r w:rsidR="00FA3D83">
              <w:rPr>
                <w:rFonts w:ascii="Verdana" w:hAnsi="Verdana"/>
                <w:sz w:val="21"/>
                <w:szCs w:val="21"/>
              </w:rPr>
              <w:t xml:space="preserve"> attention would be dedicated to reinforce grammars topics in order to enhance the</w:t>
            </w:r>
            <w:r w:rsidR="00AF31F2">
              <w:rPr>
                <w:rFonts w:ascii="Verdana" w:hAnsi="Verdana"/>
                <w:sz w:val="21"/>
                <w:szCs w:val="21"/>
              </w:rPr>
              <w:t xml:space="preserve"> students’</w:t>
            </w:r>
            <w:r w:rsidR="00FA3D83">
              <w:rPr>
                <w:rFonts w:ascii="Verdana" w:hAnsi="Verdana"/>
                <w:sz w:val="21"/>
                <w:szCs w:val="21"/>
              </w:rPr>
              <w:t xml:space="preserve"> speaking. </w:t>
            </w:r>
          </w:p>
          <w:p w:rsidR="00FA3D83" w:rsidRPr="00A93B05" w:rsidRDefault="00FA3D83" w:rsidP="00D9006C">
            <w:pPr>
              <w:spacing w:after="0" w:line="240" w:lineRule="auto"/>
              <w:rPr>
                <w:rFonts w:ascii="Verdana" w:hAnsi="Verdana"/>
                <w:b/>
                <w:sz w:val="21"/>
                <w:szCs w:val="21"/>
              </w:rPr>
            </w:pPr>
          </w:p>
          <w:p w:rsidR="00A93B05" w:rsidRPr="00D9006C" w:rsidRDefault="00A93B05" w:rsidP="00D9006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  <w:tbl>
            <w:tblPr>
              <w:tblStyle w:val="Grigliatabella"/>
              <w:tblW w:w="9637" w:type="dxa"/>
              <w:tblLook w:val="04A0"/>
            </w:tblPr>
            <w:tblGrid>
              <w:gridCol w:w="4818"/>
              <w:gridCol w:w="4819"/>
            </w:tblGrid>
            <w:tr w:rsidR="00E00BF4" w:rsidTr="00E00BF4">
              <w:trPr>
                <w:trHeight w:val="244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:rsidTr="00D9006C">
              <w:trPr>
                <w:trHeight w:val="70"/>
              </w:trPr>
              <w:tc>
                <w:tcPr>
                  <w:tcW w:w="4818" w:type="dxa"/>
                </w:tcPr>
                <w:p w:rsidR="00AF31F2" w:rsidRDefault="00AF31F2" w:rsidP="00AF31F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Social chances, families in the past and in the future, civil rights, increase and decrease of the population, statistics projections</w:t>
                  </w:r>
                </w:p>
                <w:p w:rsidR="00AF31F2" w:rsidRDefault="00AF31F2" w:rsidP="00AF31F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F31F2" w:rsidRDefault="00AF31F2" w:rsidP="00AF31F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Italian traditions: religious celebrations, festive days, typical games and presents, festive etiquette, do and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dont’s</w:t>
                  </w:r>
                  <w:proofErr w:type="spellEnd"/>
                </w:p>
                <w:p w:rsidR="00AF31F2" w:rsidRDefault="00AF31F2" w:rsidP="00AF31F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F31F2" w:rsidRDefault="00AF31F2" w:rsidP="00AF31F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Protagonists of the Italian Culture: their goals, their challenges,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historicals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myths and truths</w:t>
                  </w:r>
                </w:p>
                <w:p w:rsidR="00AF31F2" w:rsidRDefault="00AF31F2" w:rsidP="00AF31F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F31F2" w:rsidRDefault="00AF31F2" w:rsidP="00AF31F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Discover Italy: mainstream destinations VS hidden ones.</w:t>
                  </w:r>
                </w:p>
                <w:p w:rsidR="00AF31F2" w:rsidRDefault="00AF31F2" w:rsidP="00AF31F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The richness and variety of the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Bel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Paese</w:t>
                  </w:r>
                  <w:proofErr w:type="spellEnd"/>
                </w:p>
                <w:p w:rsidR="00AF31F2" w:rsidRDefault="00AF31F2" w:rsidP="00AF31F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Italian treasures in danger</w:t>
                  </w:r>
                </w:p>
                <w:p w:rsidR="00AF31F2" w:rsidRDefault="00AF31F2" w:rsidP="00AF31F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F31F2" w:rsidRDefault="00AF31F2" w:rsidP="00AF31F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Italian language: yesterday and today</w:t>
                  </w:r>
                </w:p>
                <w:p w:rsidR="00AF31F2" w:rsidRDefault="00AF31F2" w:rsidP="00AF31F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Differences in written and spoken language</w:t>
                  </w:r>
                </w:p>
                <w:p w:rsidR="00AF31F2" w:rsidRDefault="00AF31F2" w:rsidP="00AF31F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F31F2" w:rsidRDefault="00AF31F2" w:rsidP="00AF31F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F31F2" w:rsidRDefault="00AF31F2" w:rsidP="00AF31F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</w:p>
                <w:p w:rsidR="00AF31F2" w:rsidRDefault="00AF31F2" w:rsidP="00AF31F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F31F2" w:rsidRDefault="00AF31F2" w:rsidP="00AF31F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F31F2" w:rsidRDefault="00AF31F2" w:rsidP="00AF31F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F31F2" w:rsidRDefault="00AF31F2" w:rsidP="00AF31F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F31F2" w:rsidRDefault="00AF31F2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:rsidR="00E00BF4" w:rsidRDefault="00AF31F2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lastRenderedPageBreak/>
                    <w:t>Review: past conditional</w:t>
                  </w:r>
                  <w:r w:rsidR="00F910EB">
                    <w:rPr>
                      <w:rFonts w:ascii="Verdana" w:hAnsi="Verdana"/>
                      <w:b/>
                      <w:sz w:val="21"/>
                      <w:szCs w:val="21"/>
                    </w:rPr>
                    <w:t>, subjunctive (</w:t>
                  </w:r>
                  <w:proofErr w:type="spellStart"/>
                  <w:r w:rsidR="00F910EB">
                    <w:rPr>
                      <w:rFonts w:ascii="Verdana" w:hAnsi="Verdana"/>
                      <w:b/>
                      <w:sz w:val="21"/>
                      <w:szCs w:val="21"/>
                    </w:rPr>
                    <w:t>presente</w:t>
                  </w:r>
                  <w:proofErr w:type="spellEnd"/>
                  <w:r w:rsidR="00F910EB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, </w:t>
                  </w:r>
                  <w:proofErr w:type="spellStart"/>
                  <w:r w:rsidR="00F910EB">
                    <w:rPr>
                      <w:rFonts w:ascii="Verdana" w:hAnsi="Verdana"/>
                      <w:b/>
                      <w:sz w:val="21"/>
                      <w:szCs w:val="21"/>
                    </w:rPr>
                    <w:t>imperfetto</w:t>
                  </w:r>
                  <w:proofErr w:type="spellEnd"/>
                  <w:r w:rsidR="00F910EB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, </w:t>
                  </w:r>
                  <w:proofErr w:type="spellStart"/>
                  <w:r w:rsidR="00F910EB">
                    <w:rPr>
                      <w:rFonts w:ascii="Verdana" w:hAnsi="Verdana"/>
                      <w:b/>
                      <w:sz w:val="21"/>
                      <w:szCs w:val="21"/>
                    </w:rPr>
                    <w:t>passato</w:t>
                  </w:r>
                  <w:proofErr w:type="spellEnd"/>
                  <w:r w:rsidR="00F910EB">
                    <w:rPr>
                      <w:rFonts w:ascii="Verdana" w:hAnsi="Verdana"/>
                      <w:b/>
                      <w:sz w:val="21"/>
                      <w:szCs w:val="21"/>
                    </w:rPr>
                    <w:t>)</w:t>
                  </w:r>
                </w:p>
                <w:p w:rsidR="00AF31F2" w:rsidRDefault="00AF31F2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F31F2" w:rsidRDefault="00AF31F2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The future in the past</w:t>
                  </w:r>
                </w:p>
                <w:p w:rsidR="00AF31F2" w:rsidRDefault="00AF31F2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F31F2" w:rsidRDefault="00F910EB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Ipotetic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period of 2° type: possibility</w:t>
                  </w:r>
                  <w:r w:rsidR="00AF31F2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</w:p>
                <w:p w:rsidR="00F910EB" w:rsidRDefault="00F910EB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F31F2" w:rsidRDefault="00F910EB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Gerund: review</w:t>
                  </w:r>
                </w:p>
                <w:p w:rsidR="00F910EB" w:rsidRDefault="00F910EB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F910EB" w:rsidRDefault="00F910EB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Indect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speech in the past clause</w:t>
                  </w:r>
                </w:p>
                <w:p w:rsidR="00F910EB" w:rsidRDefault="00F910EB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F910EB" w:rsidRDefault="00F910EB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Passive forms</w:t>
                  </w:r>
                </w:p>
                <w:p w:rsidR="00F910EB" w:rsidRDefault="00F910EB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F910EB" w:rsidRDefault="00F910EB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Ipotetic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period of 3° type: impossibility</w:t>
                  </w:r>
                </w:p>
                <w:p w:rsidR="00F910EB" w:rsidRDefault="00F910EB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F910EB" w:rsidRDefault="00F910EB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Subjunctive: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trapassato</w:t>
                  </w:r>
                  <w:proofErr w:type="spellEnd"/>
                </w:p>
                <w:p w:rsidR="00F910EB" w:rsidRDefault="00F910EB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E00BF4" w:rsidRPr="0010487D" w:rsidRDefault="00E00BF4" w:rsidP="00204502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:rsidR="00180AAB" w:rsidRDefault="00180AAB"/>
    <w:sectPr w:rsidR="00180AAB" w:rsidSect="00E00BF4">
      <w:headerReference w:type="default" r:id="rId6"/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EB1" w:rsidRDefault="00677EB1" w:rsidP="0010487D">
      <w:pPr>
        <w:spacing w:after="0" w:line="240" w:lineRule="auto"/>
      </w:pPr>
      <w:r>
        <w:separator/>
      </w:r>
    </w:p>
  </w:endnote>
  <w:endnote w:type="continuationSeparator" w:id="0">
    <w:p w:rsidR="00677EB1" w:rsidRDefault="00677EB1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7D" w:rsidRDefault="0010487D">
    <w:pPr>
      <w:pStyle w:val="Pidipagina"/>
    </w:pPr>
    <w:r>
      <w:rPr>
        <w:noProof/>
        <w:lang w:val="it-IT" w:eastAsia="it-IT"/>
      </w:rPr>
      <w:drawing>
        <wp:inline distT="0" distB="0" distL="0" distR="0">
          <wp:extent cx="9461500" cy="546100"/>
          <wp:effectExtent l="0" t="0" r="6350" b="6350"/>
          <wp:docPr id="2" name="Picture 2" descr="P:\Marketing\Email Signatures\Design\image0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Marketing\Email Signatures\Design\image004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EB1" w:rsidRDefault="00677EB1" w:rsidP="0010487D">
      <w:pPr>
        <w:spacing w:after="0" w:line="240" w:lineRule="auto"/>
      </w:pPr>
      <w:r>
        <w:separator/>
      </w:r>
    </w:p>
  </w:footnote>
  <w:footnote w:type="continuationSeparator" w:id="0">
    <w:p w:rsidR="00677EB1" w:rsidRDefault="00677EB1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7D" w:rsidRDefault="0010487D" w:rsidP="0010487D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0487D"/>
    <w:rsid w:val="0010487D"/>
    <w:rsid w:val="00116594"/>
    <w:rsid w:val="00180AAB"/>
    <w:rsid w:val="003051CB"/>
    <w:rsid w:val="00360286"/>
    <w:rsid w:val="003D0460"/>
    <w:rsid w:val="004F0793"/>
    <w:rsid w:val="005F62AF"/>
    <w:rsid w:val="00602D69"/>
    <w:rsid w:val="00644C7F"/>
    <w:rsid w:val="00677EB1"/>
    <w:rsid w:val="006A50FA"/>
    <w:rsid w:val="006D6C50"/>
    <w:rsid w:val="0070283C"/>
    <w:rsid w:val="007817F8"/>
    <w:rsid w:val="00810F7E"/>
    <w:rsid w:val="00921131"/>
    <w:rsid w:val="00985F7B"/>
    <w:rsid w:val="00A15E40"/>
    <w:rsid w:val="00A27AE0"/>
    <w:rsid w:val="00A528EA"/>
    <w:rsid w:val="00A93B05"/>
    <w:rsid w:val="00AF31F2"/>
    <w:rsid w:val="00B46A57"/>
    <w:rsid w:val="00BC44E4"/>
    <w:rsid w:val="00BD58DF"/>
    <w:rsid w:val="00CB7F73"/>
    <w:rsid w:val="00D67CB5"/>
    <w:rsid w:val="00D9006C"/>
    <w:rsid w:val="00E00BF4"/>
    <w:rsid w:val="00E56EB6"/>
    <w:rsid w:val="00E66BF9"/>
    <w:rsid w:val="00E953FC"/>
    <w:rsid w:val="00F1222D"/>
    <w:rsid w:val="00F76E18"/>
    <w:rsid w:val="00F813A3"/>
    <w:rsid w:val="00F910EB"/>
    <w:rsid w:val="00FA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8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487D"/>
  </w:style>
  <w:style w:type="paragraph" w:styleId="Pidipagina">
    <w:name w:val="footer"/>
    <w:basedOn w:val="Normale"/>
    <w:link w:val="PidipaginaCarattere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87D"/>
  </w:style>
  <w:style w:type="table" w:styleId="Grigliatabella">
    <w:name w:val="Table Grid"/>
    <w:basedOn w:val="Tabellanormale"/>
    <w:uiPriority w:val="59"/>
    <w:rsid w:val="00E0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P:\Marketing\Email%20Signatures\Design\image004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ire</cp:lastModifiedBy>
  <cp:revision>6</cp:revision>
  <dcterms:created xsi:type="dcterms:W3CDTF">2017-11-08T16:57:00Z</dcterms:created>
  <dcterms:modified xsi:type="dcterms:W3CDTF">2017-11-09T12:23:00Z</dcterms:modified>
</cp:coreProperties>
</file>