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3303"/>
        <w:gridCol w:w="2024"/>
        <w:gridCol w:w="277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0A4B99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 Intermediate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0A4B99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3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0A4B99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1-5 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676FE2" w:rsidRDefault="00676FE2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:rsidR="000A4B99" w:rsidRDefault="000A4B99" w:rsidP="000A4B99">
            <w:pPr>
              <w:spacing w:after="0" w:line="360" w:lineRule="auto"/>
              <w:rPr>
                <w:rFonts w:ascii="Verdana" w:hAnsi="Verdana"/>
                <w:sz w:val="21"/>
                <w:szCs w:val="21"/>
              </w:rPr>
            </w:pPr>
            <w:r w:rsidRPr="003261B7">
              <w:rPr>
                <w:rFonts w:ascii="Verdana" w:hAnsi="Verdana"/>
                <w:sz w:val="21"/>
                <w:szCs w:val="21"/>
              </w:rPr>
              <w:t>This course enriches the students’ knowledge of current expressions and vocabulary and introduces new</w:t>
            </w:r>
            <w:r w:rsidR="00676FE2">
              <w:rPr>
                <w:rFonts w:ascii="Verdana" w:hAnsi="Verdana"/>
                <w:sz w:val="21"/>
                <w:szCs w:val="21"/>
              </w:rPr>
              <w:t xml:space="preserve"> important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grammatical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structures</w:t>
            </w:r>
            <w:r>
              <w:t>.</w:t>
            </w:r>
            <w:r>
              <w:rPr>
                <w:rFonts w:ascii="Verdana" w:hAnsi="Verdana"/>
                <w:sz w:val="21"/>
                <w:szCs w:val="21"/>
              </w:rPr>
              <w:t>. You can describe different cities and countries. You can describe different objects, their function, material, purpose.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You can talk about your hopes and desires.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You can identify the main conclusions in texts that clearly argue a point of view. You can understand the main points in straightforward texts on subjects of personal or professional interest. You can write familiar topics, comparing and contrasting different opinions.</w:t>
            </w:r>
          </w:p>
          <w:p w:rsidR="00A93B05" w:rsidRPr="00D9006C" w:rsidRDefault="00824FC4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1"/>
                <w:szCs w:val="21"/>
              </w:rPr>
              <w:t>Particular attention would be dedicated to reinforce grammars topics in order to enhance the students’ speaking.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Grigliatabella"/>
              <w:tblW w:w="9637" w:type="dxa"/>
              <w:tblLook w:val="04A0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Meeting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people</w:t>
                  </w: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Inviting and accepting an invitation</w:t>
                  </w: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Expressing your opinion, making comments about your experiences</w:t>
                  </w: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Describing situations and events in the past</w:t>
                  </w: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Talking about your family, yourself and your origins</w:t>
                  </w: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Agreeing &amp; disagreeing</w:t>
                  </w:r>
                </w:p>
                <w:p w:rsidR="000A4B99" w:rsidRPr="00C975E5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975E5">
                    <w:rPr>
                      <w:rFonts w:ascii="Verdana" w:hAnsi="Verdana"/>
                      <w:sz w:val="21"/>
                      <w:szCs w:val="21"/>
                    </w:rPr>
                    <w:t>Having an argument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City life. Describing cities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Italian regions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Expressing hope, preferences, disagreement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Asking for help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complaints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Talking about projects</w:t>
                  </w:r>
                </w:p>
                <w:p w:rsidR="000A4B99" w:rsidRPr="00D45130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Pr="00D45130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Made in Italy. Describing products and brands. 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Describing an object: material, function,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lastRenderedPageBreak/>
                    <w:t>features etc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Communicating one’s intentions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Expressing feelings and emotions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Expressing doubts and opinions 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Let’s read together: book’s  taste, Italian writers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passive forms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Trapassato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prossimo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General review of pronouns: direct and indirect pronouns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  <w:proofErr w:type="spellStart"/>
                  <w:r w:rsidRPr="000A4B9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Double</w:t>
                  </w:r>
                  <w:proofErr w:type="spellEnd"/>
                  <w:r w:rsidRPr="000A4B9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0A4B9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pronouns</w:t>
                  </w:r>
                  <w:proofErr w:type="spellEnd"/>
                  <w:r w:rsidRPr="000A4B9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(</w:t>
                  </w:r>
                  <w:r w:rsidRPr="000A4B99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 xml:space="preserve">te lo, </w:t>
                  </w:r>
                  <w:proofErr w:type="spellStart"/>
                  <w:r w:rsidRPr="000A4B99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glielo…</w:t>
                  </w:r>
                  <w:proofErr w:type="spellEnd"/>
                  <w:r w:rsidRPr="000A4B99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)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</w:p>
                <w:p w:rsidR="000A4B99" w:rsidRPr="00824FC4" w:rsidRDefault="000A4B99" w:rsidP="000A4B99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  <w:r w:rsidRPr="00824FC4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 xml:space="preserve">Present conditional and past conditional </w:t>
                  </w:r>
                </w:p>
                <w:p w:rsidR="000A4B99" w:rsidRPr="00824FC4" w:rsidRDefault="000A4B99" w:rsidP="000A4B99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</w:p>
                <w:p w:rsidR="000A4B99" w:rsidRPr="00824FC4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824FC4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Describing adjectives </w:t>
                  </w:r>
                </w:p>
                <w:p w:rsidR="000A4B99" w:rsidRPr="00824FC4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0A4B9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Review of subjunctive: present subjunctive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Past subjunctive</w:t>
                  </w: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Review of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altereted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names</w:t>
                  </w: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Adverbs </w:t>
                  </w: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Introduction: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Imperfetto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subjunctive </w:t>
                  </w: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As if clause</w:t>
                  </w: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Passive forms 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essere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and venire </w:t>
                  </w:r>
                </w:p>
                <w:p w:rsidR="00676FE2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76FE2" w:rsidRPr="000A4B99" w:rsidRDefault="00676FE2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Introduction: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passato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remoto</w:t>
                  </w:r>
                  <w:proofErr w:type="spellEnd"/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0A4B9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  </w:t>
                  </w:r>
                </w:p>
                <w:p w:rsidR="000A4B99" w:rsidRPr="000A4B99" w:rsidRDefault="000A4B99" w:rsidP="000A4B99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</w:p>
                <w:p w:rsidR="00A15E40" w:rsidRDefault="00A15E40" w:rsidP="00676FE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CC" w:rsidRDefault="008218CC" w:rsidP="0010487D">
      <w:pPr>
        <w:spacing w:after="0" w:line="240" w:lineRule="auto"/>
      </w:pPr>
      <w:r>
        <w:separator/>
      </w:r>
    </w:p>
  </w:endnote>
  <w:endnote w:type="continuationSeparator" w:id="0">
    <w:p w:rsidR="008218CC" w:rsidRDefault="008218CC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>
    <w:pPr>
      <w:pStyle w:val="Pidipagina"/>
    </w:pPr>
    <w:r>
      <w:rPr>
        <w:noProof/>
        <w:lang w:val="it-IT" w:eastAsia="it-IT"/>
      </w:rPr>
      <w:drawing>
        <wp:inline distT="0" distB="0" distL="0" distR="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CC" w:rsidRDefault="008218CC" w:rsidP="0010487D">
      <w:pPr>
        <w:spacing w:after="0" w:line="240" w:lineRule="auto"/>
      </w:pPr>
      <w:r>
        <w:separator/>
      </w:r>
    </w:p>
  </w:footnote>
  <w:footnote w:type="continuationSeparator" w:id="0">
    <w:p w:rsidR="008218CC" w:rsidRDefault="008218CC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 w:rsidP="001048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487D"/>
    <w:rsid w:val="000A4B99"/>
    <w:rsid w:val="0010487D"/>
    <w:rsid w:val="00116594"/>
    <w:rsid w:val="00180AAB"/>
    <w:rsid w:val="003051CB"/>
    <w:rsid w:val="00360286"/>
    <w:rsid w:val="003D0460"/>
    <w:rsid w:val="004F0793"/>
    <w:rsid w:val="005F62AF"/>
    <w:rsid w:val="00602D69"/>
    <w:rsid w:val="00644C7F"/>
    <w:rsid w:val="00676FE2"/>
    <w:rsid w:val="006D6C50"/>
    <w:rsid w:val="0070283C"/>
    <w:rsid w:val="007817F8"/>
    <w:rsid w:val="00810F7E"/>
    <w:rsid w:val="008218CC"/>
    <w:rsid w:val="00824FC4"/>
    <w:rsid w:val="009144A3"/>
    <w:rsid w:val="00921131"/>
    <w:rsid w:val="00985F7B"/>
    <w:rsid w:val="00A15E40"/>
    <w:rsid w:val="00A27AE0"/>
    <w:rsid w:val="00A528EA"/>
    <w:rsid w:val="00A93B05"/>
    <w:rsid w:val="00AB37AB"/>
    <w:rsid w:val="00B46A57"/>
    <w:rsid w:val="00BD58DF"/>
    <w:rsid w:val="00CB7F73"/>
    <w:rsid w:val="00CC1181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87D"/>
  </w:style>
  <w:style w:type="paragraph" w:styleId="Pidipagina">
    <w:name w:val="footer"/>
    <w:basedOn w:val="Normale"/>
    <w:link w:val="Pidipagina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87D"/>
  </w:style>
  <w:style w:type="table" w:styleId="Grigliatabella">
    <w:name w:val="Table Grid"/>
    <w:basedOn w:val="Tabellanormale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ire</cp:lastModifiedBy>
  <cp:revision>6</cp:revision>
  <dcterms:created xsi:type="dcterms:W3CDTF">2017-11-08T16:57:00Z</dcterms:created>
  <dcterms:modified xsi:type="dcterms:W3CDTF">2017-11-09T12:23:00Z</dcterms:modified>
</cp:coreProperties>
</file>